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F8" w:rsidRPr="00810EF8" w:rsidRDefault="00810EF8" w:rsidP="00810EF8">
      <w:pPr>
        <w:pStyle w:val="Ttulo1"/>
        <w:jc w:val="center"/>
        <w:rPr>
          <w:rFonts w:eastAsia="Times New Roman"/>
          <w:lang w:eastAsia="es-CL"/>
        </w:rPr>
      </w:pPr>
      <w:r w:rsidRPr="00810EF8">
        <w:rPr>
          <w:rFonts w:eastAsia="Times New Roman"/>
          <w:lang w:eastAsia="es-CL"/>
        </w:rPr>
        <w:t>Die</w:t>
      </w:r>
      <w:r w:rsidRPr="00810EF8">
        <w:rPr>
          <w:rFonts w:eastAsia="Times New Roman"/>
          <w:lang w:eastAsia="es-CL"/>
        </w:rPr>
        <w:softHyphen/>
        <w:t xml:space="preserve">go </w:t>
      </w:r>
      <w:proofErr w:type="spellStart"/>
      <w:r w:rsidRPr="00810EF8">
        <w:rPr>
          <w:rFonts w:eastAsia="Times New Roman"/>
          <w:lang w:eastAsia="es-CL"/>
        </w:rPr>
        <w:t>Fleis</w:t>
      </w:r>
      <w:r w:rsidRPr="00810EF8">
        <w:rPr>
          <w:rFonts w:eastAsia="Times New Roman"/>
          <w:lang w:eastAsia="es-CL"/>
        </w:rPr>
        <w:softHyphen/>
        <w:t>c</w:t>
      </w:r>
      <w:bookmarkStart w:id="0" w:name="_GoBack"/>
      <w:bookmarkEnd w:id="0"/>
      <w:r w:rsidRPr="00810EF8">
        <w:rPr>
          <w:rFonts w:eastAsia="Times New Roman"/>
          <w:lang w:eastAsia="es-CL"/>
        </w:rPr>
        <w:t>h</w:t>
      </w:r>
      <w:r w:rsidRPr="00810EF8">
        <w:rPr>
          <w:rFonts w:eastAsia="Times New Roman"/>
          <w:lang w:eastAsia="es-CL"/>
        </w:rPr>
        <w:softHyphen/>
        <w:t>mann</w:t>
      </w:r>
      <w:proofErr w:type="spellEnd"/>
      <w:r w:rsidRPr="00810EF8">
        <w:rPr>
          <w:rFonts w:eastAsia="Times New Roman"/>
          <w:lang w:eastAsia="es-CL"/>
        </w:rPr>
        <w:t xml:space="preserve"> Chadwick</w:t>
      </w:r>
    </w:p>
    <w:p w:rsidR="00810EF8" w:rsidRDefault="00810EF8">
      <w:pPr>
        <w:rPr>
          <w:rFonts w:ascii="Trebuchet MS" w:hAnsi="Trebuchet MS"/>
          <w:color w:val="303030"/>
          <w:sz w:val="20"/>
          <w:szCs w:val="20"/>
          <w:shd w:val="clear" w:color="auto" w:fill="FFFFFF"/>
        </w:rPr>
      </w:pPr>
    </w:p>
    <w:p w:rsidR="001E2414" w:rsidRPr="00810EF8" w:rsidRDefault="00810EF8">
      <w:pPr>
        <w:rPr>
          <w:rFonts w:ascii="Trebuchet MS" w:hAnsi="Trebuchet MS"/>
          <w:color w:val="303030"/>
          <w:sz w:val="20"/>
          <w:szCs w:val="20"/>
          <w:shd w:val="clear" w:color="auto" w:fill="FFFFFF"/>
        </w:rPr>
      </w:pPr>
      <w:r w:rsidRPr="00810EF8"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Ingeniero Comercial y Magíster en Finanzas de la Universidad Adolfo </w:t>
      </w:r>
      <w:r w:rsidRPr="00810EF8">
        <w:rPr>
          <w:rFonts w:ascii="Trebuchet MS" w:hAnsi="Trebuchet MS"/>
          <w:color w:val="303030"/>
          <w:sz w:val="20"/>
          <w:szCs w:val="20"/>
          <w:shd w:val="clear" w:color="auto" w:fill="FFFFFF"/>
        </w:rPr>
        <w:t>Ibáñez</w:t>
      </w:r>
      <w:r w:rsidRPr="00810EF8">
        <w:rPr>
          <w:rFonts w:ascii="Trebuchet MS" w:hAnsi="Trebuchet MS"/>
          <w:color w:val="303030"/>
          <w:sz w:val="20"/>
          <w:szCs w:val="20"/>
          <w:shd w:val="clear" w:color="auto" w:fill="FFFFFF"/>
        </w:rPr>
        <w:t>. Socio fundador de AVLA. Tiene experiencia en banca de inversiones en Santander Investment y Penta Investment. Socio fundador de Incubox e Incured; IFB Inmobiliaria y Marketgreen. Director de ASECH y Vicepresidente de Asigar (Asociación de Sociedades de Garantía Recíproca)</w:t>
      </w:r>
    </w:p>
    <w:sectPr w:rsidR="001E2414" w:rsidRPr="00810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8"/>
    <w:rsid w:val="003E3DF1"/>
    <w:rsid w:val="00810EF8"/>
    <w:rsid w:val="008F4955"/>
    <w:rsid w:val="00A70BA1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7262"/>
  <w15:chartTrackingRefBased/>
  <w15:docId w15:val="{A847FAB2-A08B-4677-8F49-002BA03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810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10EF8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10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2018-08-09T16:47:00Z</dcterms:created>
  <dcterms:modified xsi:type="dcterms:W3CDTF">2018-08-09T16:48:00Z</dcterms:modified>
</cp:coreProperties>
</file>